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7636A4C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BB6FCC">
        <w:rPr>
          <w:b/>
          <w:szCs w:val="22"/>
        </w:rPr>
        <w:t xml:space="preserve">Areál tramvaje Poruba </w:t>
      </w:r>
      <w:r w:rsidR="000F488F">
        <w:rPr>
          <w:b/>
          <w:szCs w:val="22"/>
        </w:rPr>
        <w:t>–</w:t>
      </w:r>
      <w:r w:rsidR="00BB6FCC">
        <w:rPr>
          <w:b/>
          <w:szCs w:val="22"/>
        </w:rPr>
        <w:t xml:space="preserve"> </w:t>
      </w:r>
      <w:r w:rsidR="00D711B4">
        <w:rPr>
          <w:b/>
          <w:szCs w:val="22"/>
        </w:rPr>
        <w:t>Sanace podlahy mezi 12. a 13. kolejí</w:t>
      </w:r>
      <w:r w:rsidR="00364FBB" w:rsidRPr="0041120C">
        <w:rPr>
          <w:b/>
          <w:szCs w:val="22"/>
        </w:rPr>
        <w:t>“</w:t>
      </w:r>
    </w:p>
    <w:p w14:paraId="40122D2A" w14:textId="4957CD6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D711B4">
        <w:rPr>
          <w:szCs w:val="22"/>
        </w:rPr>
        <w:t>DOD20240438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0AA4BA6B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D711B4">
        <w:t xml:space="preserve">é </w:t>
      </w:r>
      <w:r w:rsidR="00721407">
        <w:t>dokumentac</w:t>
      </w:r>
      <w:r w:rsidR="00D711B4">
        <w:t>e</w:t>
      </w:r>
    </w:p>
    <w:p w14:paraId="39E67908" w14:textId="33AAA58B" w:rsidR="00086C20" w:rsidRPr="002016CF" w:rsidRDefault="004C0E45" w:rsidP="002016CF">
      <w:pPr>
        <w:overflowPunct w:val="0"/>
        <w:autoSpaceDE w:val="0"/>
        <w:autoSpaceDN w:val="0"/>
        <w:adjustRightInd w:val="0"/>
        <w:spacing w:before="90" w:line="276" w:lineRule="auto"/>
        <w:ind w:right="23"/>
        <w:textAlignment w:val="baseline"/>
        <w:rPr>
          <w:szCs w:val="22"/>
        </w:rPr>
      </w:pPr>
      <w:r w:rsidRPr="002016CF">
        <w:rPr>
          <w:szCs w:val="22"/>
        </w:rPr>
        <w:t>V</w:t>
      </w:r>
      <w:r w:rsidR="00F84E41" w:rsidRPr="002016CF">
        <w:rPr>
          <w:szCs w:val="22"/>
        </w:rPr>
        <w:t> </w:t>
      </w:r>
      <w:r w:rsidRPr="002016CF">
        <w:rPr>
          <w:szCs w:val="22"/>
        </w:rPr>
        <w:t>soul</w:t>
      </w:r>
      <w:r w:rsidR="00F84E41" w:rsidRPr="002016CF">
        <w:rPr>
          <w:szCs w:val="22"/>
        </w:rPr>
        <w:t>adu s</w:t>
      </w:r>
      <w:r w:rsidR="009A40C3" w:rsidRPr="002016CF">
        <w:rPr>
          <w:szCs w:val="22"/>
        </w:rPr>
        <w:t xml:space="preserve"> ustanovením </w:t>
      </w:r>
      <w:r w:rsidRPr="002016CF">
        <w:rPr>
          <w:szCs w:val="22"/>
        </w:rPr>
        <w:t>Smlouvy o dílo, kapitola II</w:t>
      </w:r>
      <w:r w:rsidR="009A40C3" w:rsidRPr="002016CF">
        <w:rPr>
          <w:szCs w:val="22"/>
        </w:rPr>
        <w:t xml:space="preserve">., odstavec </w:t>
      </w:r>
      <w:r w:rsidR="00821793">
        <w:rPr>
          <w:szCs w:val="22"/>
        </w:rPr>
        <w:t>1</w:t>
      </w:r>
      <w:r w:rsidR="009A40C3" w:rsidRPr="002016CF">
        <w:rPr>
          <w:szCs w:val="22"/>
        </w:rPr>
        <w:t>, bud</w:t>
      </w:r>
      <w:r w:rsidR="00D711B4" w:rsidRPr="002016CF">
        <w:rPr>
          <w:szCs w:val="22"/>
        </w:rPr>
        <w:t>e</w:t>
      </w:r>
      <w:r w:rsidR="009A40C3" w:rsidRPr="002016CF">
        <w:rPr>
          <w:szCs w:val="22"/>
        </w:rPr>
        <w:t xml:space="preserve"> p</w:t>
      </w:r>
      <w:r w:rsidR="00606B92" w:rsidRPr="002016CF">
        <w:rPr>
          <w:szCs w:val="22"/>
        </w:rPr>
        <w:t>rojektov</w:t>
      </w:r>
      <w:r w:rsidR="00D711B4" w:rsidRPr="002016CF">
        <w:rPr>
          <w:szCs w:val="22"/>
        </w:rPr>
        <w:t>á</w:t>
      </w:r>
      <w:r w:rsidR="00606B92" w:rsidRPr="002016CF">
        <w:rPr>
          <w:szCs w:val="22"/>
        </w:rPr>
        <w:t xml:space="preserve"> dokumentace (dále jen PD), kter</w:t>
      </w:r>
      <w:r w:rsidR="00D711B4" w:rsidRPr="002016CF">
        <w:rPr>
          <w:szCs w:val="22"/>
        </w:rPr>
        <w:t>á je</w:t>
      </w:r>
      <w:r w:rsidR="00606B92" w:rsidRPr="002016CF">
        <w:rPr>
          <w:szCs w:val="22"/>
        </w:rPr>
        <w:t xml:space="preserve"> předmětem plnění Smlouvy o dílo </w:t>
      </w:r>
      <w:r w:rsidR="00D711B4" w:rsidRPr="002016CF">
        <w:rPr>
          <w:szCs w:val="22"/>
        </w:rPr>
        <w:t>vyhotovena</w:t>
      </w:r>
      <w:r w:rsidR="009A40C3" w:rsidRPr="002016CF">
        <w:rPr>
          <w:szCs w:val="22"/>
        </w:rPr>
        <w:t xml:space="preserve"> podle následujících požadavků</w:t>
      </w:r>
      <w:r w:rsidR="00FF79BC" w:rsidRPr="002016CF">
        <w:rPr>
          <w:szCs w:val="22"/>
        </w:rPr>
        <w:t>:</w:t>
      </w:r>
      <w:r w:rsidR="00EF2404" w:rsidRPr="002016CF">
        <w:rPr>
          <w:szCs w:val="22"/>
        </w:rPr>
        <w:t xml:space="preserve"> </w:t>
      </w:r>
    </w:p>
    <w:p w14:paraId="3D20F238" w14:textId="362DEC5E" w:rsidR="002016CF" w:rsidRDefault="00086C20" w:rsidP="00C80B2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2016CF">
        <w:rPr>
          <w:b/>
          <w:szCs w:val="22"/>
        </w:rPr>
        <w:t>Projektová dokumentace (PD) ve stupni pro provádění stavby (dále jen DPS)</w:t>
      </w:r>
      <w:r w:rsidR="002016CF" w:rsidRPr="002016CF">
        <w:rPr>
          <w:b/>
          <w:szCs w:val="22"/>
        </w:rPr>
        <w:t xml:space="preserve"> </w:t>
      </w:r>
      <w:r w:rsidR="00F904CA" w:rsidRPr="002016CF">
        <w:rPr>
          <w:szCs w:val="22"/>
        </w:rPr>
        <w:t>bude zpracována v souladu s vyhláškou č. 146/2008 Sb., o rozsahu a obsahu projektové dokumentace dopravních staveb, dle přílohy č. 4, v</w:t>
      </w:r>
      <w:r w:rsidR="001F0835">
        <w:rPr>
          <w:szCs w:val="22"/>
        </w:rPr>
        <w:t> posledním</w:t>
      </w:r>
      <w:r w:rsidR="00F904CA" w:rsidRPr="002016CF">
        <w:rPr>
          <w:szCs w:val="22"/>
        </w:rPr>
        <w:t xml:space="preserve"> znění</w:t>
      </w:r>
      <w:r w:rsidR="00CE0B99" w:rsidRPr="002016CF">
        <w:rPr>
          <w:szCs w:val="22"/>
        </w:rPr>
        <w:t xml:space="preserve"> </w:t>
      </w:r>
      <w:r w:rsidR="001F0835">
        <w:rPr>
          <w:szCs w:val="22"/>
        </w:rPr>
        <w:t>před jejím zrušením</w:t>
      </w:r>
      <w:r w:rsidR="00F904CA" w:rsidRPr="002016CF">
        <w:rPr>
          <w:szCs w:val="22"/>
        </w:rPr>
        <w:t xml:space="preserve">, a dalších na ní navazujících vyhlášek. </w:t>
      </w:r>
    </w:p>
    <w:p w14:paraId="5CECCA43" w14:textId="1C061747" w:rsidR="0007058F" w:rsidRDefault="00F904CA" w:rsidP="005101A7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 w:rsidRPr="002016CF">
        <w:rPr>
          <w:szCs w:val="22"/>
        </w:rPr>
        <w:t>Zpracovaná PD DPS bude striktně dodržovat požadavky vyhlášky včetně rozsahu a obsahu jednotlivých částí projektové dokumentace stavby a požadovaných výkresů.</w:t>
      </w:r>
    </w:p>
    <w:p w14:paraId="30B7CD78" w14:textId="50D21C5B" w:rsidR="001F0835" w:rsidRDefault="001F0835" w:rsidP="005101A7">
      <w:pPr>
        <w:overflowPunct w:val="0"/>
        <w:autoSpaceDE w:val="0"/>
        <w:autoSpaceDN w:val="0"/>
        <w:adjustRightInd w:val="0"/>
        <w:spacing w:before="90" w:after="0" w:line="276" w:lineRule="auto"/>
        <w:ind w:left="284" w:right="23"/>
        <w:textAlignment w:val="baseline"/>
        <w:rPr>
          <w:szCs w:val="22"/>
        </w:rPr>
      </w:pPr>
      <w:r>
        <w:rPr>
          <w:szCs w:val="22"/>
        </w:rPr>
        <w:t xml:space="preserve">Bude-li v době zpracování PD vydána nová vyhláška Ministerstva pro místní rozvoj ČR o dokumentaci staveb, bude PD DPS zpracována v souladu s touto novou vyhláškou. </w:t>
      </w:r>
    </w:p>
    <w:p w14:paraId="757B6D29" w14:textId="2586109E" w:rsidR="00086C20" w:rsidRPr="00105422" w:rsidRDefault="00086C20" w:rsidP="00C80B2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105422">
        <w:rPr>
          <w:szCs w:val="22"/>
        </w:rPr>
        <w:t xml:space="preserve">Součástí </w:t>
      </w:r>
      <w:r w:rsidR="005101A7">
        <w:rPr>
          <w:szCs w:val="22"/>
        </w:rPr>
        <w:t>PD</w:t>
      </w:r>
      <w:r w:rsidRPr="00105422">
        <w:rPr>
          <w:szCs w:val="22"/>
        </w:rPr>
        <w:t xml:space="preserve"> dokumentace bude:</w:t>
      </w:r>
    </w:p>
    <w:p w14:paraId="66A46B2F" w14:textId="3600EA66" w:rsidR="00DE5251" w:rsidRPr="0050343C" w:rsidRDefault="00086C20" w:rsidP="00C80B24">
      <w:pPr>
        <w:numPr>
          <w:ilvl w:val="0"/>
          <w:numId w:val="4"/>
        </w:numPr>
        <w:spacing w:before="90" w:after="0"/>
        <w:ind w:left="567" w:hanging="283"/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</w:t>
      </w:r>
      <w:r w:rsidR="0007058F">
        <w:rPr>
          <w:szCs w:val="22"/>
        </w:rPr>
        <w:t>/bourací práce</w:t>
      </w:r>
      <w:r w:rsidRPr="00105422">
        <w:rPr>
          <w:szCs w:val="22"/>
        </w:rPr>
        <w:t>.</w:t>
      </w:r>
      <w:r w:rsidR="00DE5251">
        <w:rPr>
          <w:szCs w:val="22"/>
        </w:rPr>
        <w:t xml:space="preserve"> </w:t>
      </w:r>
    </w:p>
    <w:p w14:paraId="7615F728" w14:textId="414F58C9" w:rsidR="00086C20" w:rsidRDefault="00086C20" w:rsidP="00C80B2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1C0DDD4E" w14:textId="6B459790" w:rsidR="00F91135" w:rsidRPr="0008641E" w:rsidRDefault="00F91135" w:rsidP="00C80B24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08641E">
        <w:rPr>
          <w:szCs w:val="22"/>
        </w:rPr>
        <w:t xml:space="preserve">Souhlasné stanovisko objednatele k PD. Žádost o vydání souhlasného stanoviska vč. PD bude zaslána v elektronické podobě, viz Smlouva o dílo, čl. II. odstavec </w:t>
      </w:r>
      <w:r w:rsidR="0008641E" w:rsidRPr="0008641E">
        <w:rPr>
          <w:szCs w:val="22"/>
        </w:rPr>
        <w:t>2</w:t>
      </w:r>
      <w:r w:rsidRPr="0008641E">
        <w:rPr>
          <w:szCs w:val="22"/>
        </w:rPr>
        <w:t>.</w:t>
      </w:r>
    </w:p>
    <w:p w14:paraId="6B375838" w14:textId="0DE194F5" w:rsidR="000B35B7" w:rsidRDefault="000B35B7" w:rsidP="0066433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>
        <w:rPr>
          <w:szCs w:val="22"/>
        </w:rPr>
        <w:t>P</w:t>
      </w:r>
      <w:r w:rsidR="008D1CD0">
        <w:rPr>
          <w:szCs w:val="22"/>
        </w:rPr>
        <w:t>D bude zpracována minimálně v tomto rozsahu</w:t>
      </w:r>
      <w:r>
        <w:rPr>
          <w:szCs w:val="22"/>
        </w:rPr>
        <w:t>:</w:t>
      </w:r>
    </w:p>
    <w:p w14:paraId="6062ACF9" w14:textId="2CC6F3B0" w:rsidR="00641B70" w:rsidRDefault="00FC75B9" w:rsidP="00664335">
      <w:pPr>
        <w:numPr>
          <w:ilvl w:val="0"/>
          <w:numId w:val="4"/>
        </w:numPr>
        <w:spacing w:before="90" w:after="0"/>
        <w:ind w:left="567" w:hanging="283"/>
      </w:pPr>
      <w:r>
        <w:t>Vybourání stávající</w:t>
      </w:r>
      <w:r w:rsidR="00641B70">
        <w:t xml:space="preserve"> podlahy</w:t>
      </w:r>
      <w:r>
        <w:t>,</w:t>
      </w:r>
      <w:r w:rsidR="00641B70">
        <w:t xml:space="preserve"> včetně průvlaku</w:t>
      </w:r>
      <w:r>
        <w:t>,</w:t>
      </w:r>
      <w:r w:rsidR="00641B70">
        <w:t xml:space="preserve"> a pz desek co ji podpírají. Podlaha včetně přesahu na nosné stěny a průvlaku je šířky 4,8</w:t>
      </w:r>
      <w:r>
        <w:t xml:space="preserve"> </w:t>
      </w:r>
      <w:r w:rsidR="00641B70">
        <w:t>m a délky 11</w:t>
      </w:r>
      <w:r w:rsidR="00C80B24">
        <w:t>0</w:t>
      </w:r>
      <w:r>
        <w:t xml:space="preserve">,0 </w:t>
      </w:r>
      <w:r w:rsidR="00641B70">
        <w:t>m.</w:t>
      </w:r>
    </w:p>
    <w:p w14:paraId="4492B881" w14:textId="47DBCA25" w:rsidR="00641B70" w:rsidRDefault="00FC75B9" w:rsidP="00664335">
      <w:pPr>
        <w:numPr>
          <w:ilvl w:val="0"/>
          <w:numId w:val="4"/>
        </w:numPr>
        <w:spacing w:before="90" w:after="0"/>
        <w:ind w:left="567" w:hanging="283"/>
      </w:pPr>
      <w:r>
        <w:t>Z</w:t>
      </w:r>
      <w:r w:rsidR="00641B70">
        <w:t xml:space="preserve">ásyp vzniklého </w:t>
      </w:r>
      <w:r>
        <w:t>prostoru po vybourá</w:t>
      </w:r>
      <w:r w:rsidR="00641B70">
        <w:t>ní podlahy</w:t>
      </w:r>
      <w:r>
        <w:t xml:space="preserve"> (částečný zásyp</w:t>
      </w:r>
      <w:r w:rsidR="00641B70">
        <w:t xml:space="preserve"> betonovým recyklátem </w:t>
      </w:r>
      <w:r>
        <w:t>z</w:t>
      </w:r>
      <w:r w:rsidR="00641B70">
        <w:t xml:space="preserve"> </w:t>
      </w:r>
      <w:r>
        <w:t>vybourané podlahy, průvlaků</w:t>
      </w:r>
      <w:r w:rsidR="00641B70">
        <w:t xml:space="preserve"> a pz desek</w:t>
      </w:r>
      <w:r>
        <w:t>)</w:t>
      </w:r>
      <w:r w:rsidR="00641B70">
        <w:t>.</w:t>
      </w:r>
    </w:p>
    <w:p w14:paraId="2D49BDFA" w14:textId="221F829F" w:rsidR="00641B70" w:rsidRDefault="00641B70" w:rsidP="00664335">
      <w:pPr>
        <w:numPr>
          <w:ilvl w:val="0"/>
          <w:numId w:val="4"/>
        </w:numPr>
        <w:spacing w:before="90" w:after="0"/>
        <w:ind w:left="567" w:hanging="283"/>
      </w:pPr>
      <w:r>
        <w:t>Návrh sanace bočních opěrných zídek.</w:t>
      </w:r>
    </w:p>
    <w:p w14:paraId="2DE2CC67" w14:textId="75863CE1" w:rsidR="00FC75B9" w:rsidRDefault="00FC75B9" w:rsidP="00664335">
      <w:pPr>
        <w:numPr>
          <w:ilvl w:val="0"/>
          <w:numId w:val="4"/>
        </w:numPr>
        <w:spacing w:before="90" w:after="0"/>
        <w:ind w:left="567" w:hanging="283"/>
      </w:pPr>
      <w:r>
        <w:t>Návrh nové podlahy po zasypání a návrh finálního povrchu podlahy pro průmyslové zatížení. Únosnost podlahy bude navržena s ohledem na předpokládaný pohyb vysokozdvižného vozíku s nákladem, kdy jeho hmotnost je s nákladem 5</w:t>
      </w:r>
      <w:r w:rsidR="00C80B24">
        <w:t xml:space="preserve"> </w:t>
      </w:r>
      <w:r>
        <w:t>tun.</w:t>
      </w:r>
    </w:p>
    <w:p w14:paraId="39DA7987" w14:textId="6DBAC067" w:rsidR="00C80B24" w:rsidRDefault="00C80B24" w:rsidP="00664335">
      <w:pPr>
        <w:numPr>
          <w:ilvl w:val="0"/>
          <w:numId w:val="4"/>
        </w:numPr>
        <w:spacing w:before="90" w:after="0"/>
        <w:ind w:left="567" w:hanging="283"/>
      </w:pPr>
      <w:r>
        <w:t>Návrh sjednocení zakončení hran nové podlahy o délce 2 x 110,0 m.</w:t>
      </w:r>
    </w:p>
    <w:p w14:paraId="5C3CDF04" w14:textId="236BA986" w:rsidR="00C80B24" w:rsidRDefault="00C80B24" w:rsidP="00664335">
      <w:pPr>
        <w:numPr>
          <w:ilvl w:val="0"/>
          <w:numId w:val="4"/>
        </w:numPr>
        <w:spacing w:before="90" w:after="0"/>
        <w:ind w:left="567" w:hanging="283"/>
      </w:pPr>
      <w:r>
        <w:t>Návrh zabudovaní multikanálu do podlahy v délce 120,0 m.</w:t>
      </w:r>
    </w:p>
    <w:p w14:paraId="0109FC5C" w14:textId="79C6BD1C" w:rsidR="00641B70" w:rsidRDefault="00641B70" w:rsidP="00664335">
      <w:pPr>
        <w:numPr>
          <w:ilvl w:val="0"/>
          <w:numId w:val="4"/>
        </w:numPr>
        <w:spacing w:before="90" w:after="0"/>
        <w:ind w:left="567" w:hanging="283"/>
      </w:pPr>
      <w:r>
        <w:t xml:space="preserve">Návrh </w:t>
      </w:r>
      <w:r w:rsidR="00AB0757">
        <w:t xml:space="preserve">nové </w:t>
      </w:r>
      <w:r>
        <w:t xml:space="preserve">trasy </w:t>
      </w:r>
      <w:r w:rsidR="00AB0757">
        <w:t>rozvodu stlačeného vzduchu</w:t>
      </w:r>
      <w:r>
        <w:t xml:space="preserve"> včetně odběrných míst.</w:t>
      </w:r>
    </w:p>
    <w:p w14:paraId="77231568" w14:textId="1B989BE6" w:rsidR="00641B70" w:rsidRDefault="00641B70" w:rsidP="00664335">
      <w:pPr>
        <w:numPr>
          <w:ilvl w:val="0"/>
          <w:numId w:val="4"/>
        </w:numPr>
        <w:spacing w:before="90" w:after="0"/>
        <w:ind w:left="567" w:hanging="283"/>
      </w:pPr>
      <w:r>
        <w:t>Návrh nové elektroinstalace</w:t>
      </w:r>
      <w:r w:rsidR="00AB0757">
        <w:t xml:space="preserve"> (zásuvky, rozvodné skříně)</w:t>
      </w:r>
      <w:r>
        <w:t>.</w:t>
      </w:r>
    </w:p>
    <w:p w14:paraId="6CC40754" w14:textId="3DB96B57" w:rsidR="003D6568" w:rsidRDefault="003D6568" w:rsidP="0066433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</w:pPr>
      <w:r w:rsidRPr="003D6568">
        <w:t xml:space="preserve">Součástí PD bude </w:t>
      </w:r>
      <w:r w:rsidRPr="003D6568">
        <w:rPr>
          <w:szCs w:val="22"/>
        </w:rPr>
        <w:t>rovněž</w:t>
      </w:r>
      <w:r w:rsidRPr="003D6568">
        <w:t>:</w:t>
      </w:r>
    </w:p>
    <w:p w14:paraId="469A0BA7" w14:textId="08E54178" w:rsidR="00FC75B9" w:rsidRDefault="00FC75B9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C75B9">
        <w:rPr>
          <w:szCs w:val="22"/>
        </w:rPr>
        <w:t xml:space="preserve">Protokol o </w:t>
      </w:r>
      <w:r w:rsidRPr="00664335">
        <w:t>určení</w:t>
      </w:r>
      <w:r w:rsidRPr="00FC75B9">
        <w:rPr>
          <w:szCs w:val="22"/>
        </w:rPr>
        <w:t xml:space="preserve"> vnějších vlivů podle ČSN 332000-5-51 ed.3.</w:t>
      </w:r>
    </w:p>
    <w:p w14:paraId="5E405A39" w14:textId="17237707" w:rsidR="00BE4965" w:rsidRDefault="00233C75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lastRenderedPageBreak/>
        <w:t>Statické výpočty.</w:t>
      </w:r>
    </w:p>
    <w:p w14:paraId="79B66E29" w14:textId="29CFB69B" w:rsidR="00FC75B9" w:rsidRDefault="00FC75B9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C75B9">
        <w:rPr>
          <w:szCs w:val="22"/>
        </w:rPr>
        <w:t>Plán bezpečnosti a ochrany zdraví při práci na staveništi zpracovaný koordinátorem BOZP na staveništi.</w:t>
      </w:r>
    </w:p>
    <w:p w14:paraId="0706E4E9" w14:textId="3466BAD2" w:rsidR="003D6568" w:rsidRPr="003D6568" w:rsidRDefault="003D6568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t>Projekt zařízení staveniště</w:t>
      </w:r>
      <w:r w:rsidR="00FC75B9">
        <w:t>, vč. skládek zásypového a bouraného materiálu.</w:t>
      </w:r>
    </w:p>
    <w:p w14:paraId="570BF705" w14:textId="347A7F52" w:rsidR="00FC75B9" w:rsidRPr="00FC75B9" w:rsidRDefault="003D6568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t>N</w:t>
      </w:r>
      <w:r w:rsidRPr="00FF6D8A">
        <w:t xml:space="preserve">ávrh podrobného </w:t>
      </w:r>
      <w:r>
        <w:t>Plánu organizace výstavby – návrh etapizace realizace stavby, vč. návrhu transport</w:t>
      </w:r>
      <w:r w:rsidR="00FC75B9">
        <w:t>u</w:t>
      </w:r>
      <w:r>
        <w:t xml:space="preserve"> materiálu, technologických postupů a </w:t>
      </w:r>
      <w:r w:rsidR="00FC75B9">
        <w:t>Kontrolního zkušebního plánu (</w:t>
      </w:r>
      <w:r>
        <w:t>KZP</w:t>
      </w:r>
      <w:r w:rsidR="00FC75B9">
        <w:t>), návrh omezení provozu dráhy (kolejí v hale).</w:t>
      </w:r>
    </w:p>
    <w:p w14:paraId="68B9397A" w14:textId="06901CE0" w:rsidR="003D6568" w:rsidRPr="00E16381" w:rsidRDefault="00FC75B9" w:rsidP="00664335">
      <w:pPr>
        <w:spacing w:before="90" w:after="0"/>
        <w:ind w:left="567"/>
        <w:rPr>
          <w:szCs w:val="22"/>
        </w:rPr>
      </w:pPr>
      <w:r>
        <w:t>R</w:t>
      </w:r>
      <w:r w:rsidR="003D6568">
        <w:t xml:space="preserve">ealizace stavby </w:t>
      </w:r>
      <w:r w:rsidR="003D6568">
        <w:rPr>
          <w:szCs w:val="22"/>
        </w:rPr>
        <w:t>bude probíhat za provozu v hale, pouze s vyloučením/omezením provozu v té části haly, ve které bude probíhat realizace stavby. Práce budou probíhat po jednotlivých etapách, které budou stanoveny na základě provozních požadavků objednatele. Při provádění prací je nutné zabezpečit trolejové vedení v hale a v areálu vypnutím.</w:t>
      </w:r>
    </w:p>
    <w:p w14:paraId="6A8D9C1F" w14:textId="17F6B89F" w:rsidR="001D237D" w:rsidRPr="00E16381" w:rsidRDefault="001D237D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Fotodokumentace</w:t>
      </w:r>
      <w:r w:rsidRPr="001D237D">
        <w:rPr>
          <w:szCs w:val="22"/>
        </w:rPr>
        <w:t xml:space="preserve"> stávajícího stavu </w:t>
      </w:r>
      <w:r>
        <w:rPr>
          <w:szCs w:val="22"/>
        </w:rPr>
        <w:t xml:space="preserve">objektu </w:t>
      </w:r>
      <w:r w:rsidRPr="001D237D">
        <w:rPr>
          <w:szCs w:val="22"/>
        </w:rPr>
        <w:t>před zahájením</w:t>
      </w:r>
      <w:r>
        <w:rPr>
          <w:szCs w:val="22"/>
        </w:rPr>
        <w:t xml:space="preserve"> projekčních prací, fotodokumentaci prováděných technických průzkumů zajistí na své náklady zhotovitel. Tato fotodokumentace v elektronické podobě bude samostatnou přílohou PD.</w:t>
      </w:r>
    </w:p>
    <w:p w14:paraId="5E6FE684" w14:textId="462C6FCB" w:rsidR="00CB334A" w:rsidRPr="00F35C6F" w:rsidRDefault="00CB334A" w:rsidP="0066433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>
        <w:rPr>
          <w:szCs w:val="22"/>
        </w:rPr>
        <w:t>PD</w:t>
      </w:r>
      <w:r w:rsidR="009F0DEC">
        <w:rPr>
          <w:szCs w:val="22"/>
        </w:rPr>
        <w:t xml:space="preserve"> bud</w:t>
      </w:r>
      <w:r w:rsidR="008D1CD0">
        <w:rPr>
          <w:szCs w:val="22"/>
        </w:rPr>
        <w:t>e</w:t>
      </w:r>
      <w:r w:rsidRPr="00F35C6F">
        <w:rPr>
          <w:szCs w:val="22"/>
        </w:rPr>
        <w:t xml:space="preserve"> vypracován</w:t>
      </w:r>
      <w:r w:rsidR="008D1CD0">
        <w:rPr>
          <w:szCs w:val="22"/>
        </w:rPr>
        <w:t>a</w:t>
      </w:r>
      <w:r w:rsidRPr="00F35C6F">
        <w:rPr>
          <w:szCs w:val="22"/>
        </w:rPr>
        <w:t xml:space="preserve"> v českém jazyce, a to v následujícím rozsahu:</w:t>
      </w:r>
    </w:p>
    <w:p w14:paraId="05EB44C7" w14:textId="07C37709" w:rsidR="00CB334A" w:rsidRPr="00F35C6F" w:rsidRDefault="00077C70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>
        <w:rPr>
          <w:szCs w:val="22"/>
        </w:rPr>
        <w:t>3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33F5654" w:rsidR="00CB334A" w:rsidRPr="00F35C6F" w:rsidRDefault="00CB334A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1 x na el. nosiči (USB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6AFBEBCB" w14:textId="443D909E" w:rsidR="00CB334A" w:rsidRDefault="00CB334A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F35C6F">
        <w:rPr>
          <w:szCs w:val="22"/>
        </w:rPr>
        <w:t>1 x na el. nosiči (USB disk) – výkresová dokumentace, textová část, tabulková část ve formátu *.pdf, rozpočtová část ve formátu *.xlsx.</w:t>
      </w:r>
    </w:p>
    <w:p w14:paraId="3ED71422" w14:textId="0B02D14B" w:rsidR="007A5545" w:rsidRPr="007A5545" w:rsidRDefault="007A5545" w:rsidP="0066433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</w:t>
      </w:r>
      <w:r w:rsidR="00F91135">
        <w:rPr>
          <w:szCs w:val="22"/>
        </w:rPr>
        <w:t>PD</w:t>
      </w:r>
      <w:r w:rsidRPr="00451928">
        <w:rPr>
          <w:szCs w:val="22"/>
        </w:rPr>
        <w:t xml:space="preserve"> je stanoven následující rozsah plnění:</w:t>
      </w:r>
    </w:p>
    <w:p w14:paraId="51E0A469" w14:textId="613DA60E" w:rsidR="00D361FB" w:rsidRDefault="00D361FB" w:rsidP="00664335">
      <w:pPr>
        <w:numPr>
          <w:ilvl w:val="0"/>
          <w:numId w:val="4"/>
        </w:numPr>
        <w:spacing w:before="90" w:after="0"/>
        <w:ind w:left="567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46780A">
        <w:rPr>
          <w:szCs w:val="22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</w:t>
      </w:r>
      <w:r w:rsidR="007F78F6">
        <w:rPr>
          <w:szCs w:val="22"/>
        </w:rPr>
        <w:t xml:space="preserve"> jak desky</w:t>
      </w:r>
      <w:r w:rsidR="00641B70">
        <w:rPr>
          <w:szCs w:val="22"/>
        </w:rPr>
        <w:t>,</w:t>
      </w:r>
      <w:r w:rsidR="007F78F6">
        <w:rPr>
          <w:szCs w:val="22"/>
        </w:rPr>
        <w:t xml:space="preserve"> tak podpěrných konstrukcí</w:t>
      </w:r>
      <w:r w:rsidRPr="00451928">
        <w:rPr>
          <w:szCs w:val="22"/>
        </w:rPr>
        <w:t>, zajištění vytýčení veškerých inženýrských sítí nutných ke zpracování PD zajistí na své náklady zhotovitel.</w:t>
      </w:r>
    </w:p>
    <w:p w14:paraId="2E6BCAA7" w14:textId="2D732593" w:rsidR="00F904CA" w:rsidRPr="00F904CA" w:rsidRDefault="00335D1C" w:rsidP="00664335">
      <w:pPr>
        <w:numPr>
          <w:ilvl w:val="0"/>
          <w:numId w:val="4"/>
        </w:numPr>
        <w:spacing w:before="90" w:after="0"/>
        <w:ind w:left="567" w:hanging="283"/>
        <w:rPr>
          <w:i/>
          <w:szCs w:val="22"/>
        </w:rPr>
      </w:pPr>
      <w:r w:rsidRPr="00451928">
        <w:rPr>
          <w:szCs w:val="22"/>
        </w:rPr>
        <w:t xml:space="preserve">Objednatel se zavazuje poskytnout zhotoviteli veškeré dostupné podklady objektů (v jeho vlastnictví) v elektronické podobě (ve formátu *.dwg, *.docx, *.xlsx) nebo papírové podobě, které má k dispozici. </w:t>
      </w:r>
      <w:r w:rsidR="00F904CA" w:rsidRPr="00F904CA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F904CA">
        <w:rPr>
          <w:color w:val="00B0F0"/>
          <w:szCs w:val="22"/>
        </w:rPr>
        <w:t>……..</w:t>
      </w:r>
      <w:r w:rsidR="00F904CA" w:rsidRPr="00F904CA">
        <w:rPr>
          <w:i/>
          <w:color w:val="00B0F0"/>
          <w:szCs w:val="22"/>
        </w:rPr>
        <w:t>(Pozn. Doplní objednatel)</w:t>
      </w:r>
    </w:p>
    <w:p w14:paraId="024D8A0C" w14:textId="45E19BC5" w:rsidR="00335D1C" w:rsidRPr="00451928" w:rsidRDefault="00335D1C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  <w:bookmarkStart w:id="0" w:name="_GoBack"/>
      <w:bookmarkEnd w:id="0"/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01A35F6B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7390438A" w14:textId="77777777" w:rsidR="00641B70" w:rsidRPr="00F35C6F" w:rsidRDefault="00641B70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97AAB" w14:textId="77777777" w:rsidR="004420B1" w:rsidRDefault="004420B1" w:rsidP="00360830">
      <w:r>
        <w:separator/>
      </w:r>
    </w:p>
  </w:endnote>
  <w:endnote w:type="continuationSeparator" w:id="0">
    <w:p w14:paraId="5659E750" w14:textId="77777777" w:rsidR="004420B1" w:rsidRDefault="004420B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486D6436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tramvaje Poruba </w:t>
        </w:r>
        <w:r w:rsidR="000F488F">
          <w:rPr>
            <w:rFonts w:ascii="Times New Roman" w:hAnsi="Times New Roman" w:cs="Times New Roman"/>
            <w:i/>
            <w:color w:val="auto"/>
            <w:sz w:val="20"/>
            <w:szCs w:val="20"/>
          </w:rPr>
          <w:t>–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8D1CD0">
          <w:rPr>
            <w:rFonts w:ascii="Times New Roman" w:hAnsi="Times New Roman" w:cs="Times New Roman"/>
            <w:i/>
            <w:color w:val="auto"/>
            <w:sz w:val="20"/>
            <w:szCs w:val="20"/>
          </w:rPr>
          <w:t>Sanace podlahy mezi 12. a 13. kolejí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64335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3D776276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„PD – </w:t>
        </w:r>
        <w:r w:rsidR="00F904CA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tramvaje Poruba – </w:t>
        </w:r>
        <w:r w:rsidR="008D1CD0">
          <w:rPr>
            <w:rFonts w:ascii="Times New Roman" w:hAnsi="Times New Roman" w:cs="Times New Roman"/>
            <w:i/>
            <w:color w:val="auto"/>
            <w:sz w:val="20"/>
            <w:szCs w:val="20"/>
          </w:rPr>
          <w:t>Sanace podlahy mezi 12. a 13. kolejí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664335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5E17" w14:textId="77777777" w:rsidR="004420B1" w:rsidRDefault="004420B1" w:rsidP="00360830">
      <w:r>
        <w:separator/>
      </w:r>
    </w:p>
  </w:footnote>
  <w:footnote w:type="continuationSeparator" w:id="0">
    <w:p w14:paraId="3B78EB8E" w14:textId="77777777" w:rsidR="004420B1" w:rsidRDefault="004420B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F7D6" w14:textId="2BD43B36" w:rsidR="00EA6992" w:rsidRPr="00EA6992" w:rsidRDefault="00EA6992" w:rsidP="00EA6992">
    <w:pPr>
      <w:spacing w:after="0"/>
      <w:rPr>
        <w:i/>
        <w:szCs w:val="22"/>
      </w:rPr>
    </w:pPr>
  </w:p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  <w:p w14:paraId="4509F907" w14:textId="6E3E7723" w:rsidR="00F73ADF" w:rsidRPr="001960F7" w:rsidRDefault="00F73ADF" w:rsidP="00EA6992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64CE5"/>
    <w:rsid w:val="0007058F"/>
    <w:rsid w:val="0007345D"/>
    <w:rsid w:val="00077C70"/>
    <w:rsid w:val="000824DE"/>
    <w:rsid w:val="000829E7"/>
    <w:rsid w:val="00086411"/>
    <w:rsid w:val="0008641E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488F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3011"/>
    <w:rsid w:val="00144AE1"/>
    <w:rsid w:val="0014531B"/>
    <w:rsid w:val="00145A19"/>
    <w:rsid w:val="0014656B"/>
    <w:rsid w:val="001526C2"/>
    <w:rsid w:val="00152CA0"/>
    <w:rsid w:val="001530A7"/>
    <w:rsid w:val="00157926"/>
    <w:rsid w:val="001802B9"/>
    <w:rsid w:val="00183B1F"/>
    <w:rsid w:val="001859D0"/>
    <w:rsid w:val="00186411"/>
    <w:rsid w:val="001904B3"/>
    <w:rsid w:val="00194ED0"/>
    <w:rsid w:val="001960F7"/>
    <w:rsid w:val="001A362B"/>
    <w:rsid w:val="001A3F7D"/>
    <w:rsid w:val="001A486C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77F2"/>
    <w:rsid w:val="001F0835"/>
    <w:rsid w:val="001F5EFC"/>
    <w:rsid w:val="0020033F"/>
    <w:rsid w:val="002016CF"/>
    <w:rsid w:val="00202953"/>
    <w:rsid w:val="0020304E"/>
    <w:rsid w:val="00203647"/>
    <w:rsid w:val="00207025"/>
    <w:rsid w:val="002130B4"/>
    <w:rsid w:val="00215E7E"/>
    <w:rsid w:val="00217849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842"/>
    <w:rsid w:val="00237858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6B3"/>
    <w:rsid w:val="0032122D"/>
    <w:rsid w:val="00322BC4"/>
    <w:rsid w:val="0032765C"/>
    <w:rsid w:val="003330C5"/>
    <w:rsid w:val="00335D1C"/>
    <w:rsid w:val="00352DBA"/>
    <w:rsid w:val="00353995"/>
    <w:rsid w:val="00354BE2"/>
    <w:rsid w:val="003551EF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568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3F7223"/>
    <w:rsid w:val="00400F2E"/>
    <w:rsid w:val="00403C70"/>
    <w:rsid w:val="0040786C"/>
    <w:rsid w:val="0041120C"/>
    <w:rsid w:val="0041133B"/>
    <w:rsid w:val="00411D80"/>
    <w:rsid w:val="00415138"/>
    <w:rsid w:val="00417BF4"/>
    <w:rsid w:val="004234C6"/>
    <w:rsid w:val="00423F56"/>
    <w:rsid w:val="004420B1"/>
    <w:rsid w:val="004423C1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3C"/>
    <w:rsid w:val="0050344E"/>
    <w:rsid w:val="00504C7A"/>
    <w:rsid w:val="005079F4"/>
    <w:rsid w:val="005079FB"/>
    <w:rsid w:val="005101A7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848C0"/>
    <w:rsid w:val="00591B15"/>
    <w:rsid w:val="0059681E"/>
    <w:rsid w:val="005A2FFA"/>
    <w:rsid w:val="005A5367"/>
    <w:rsid w:val="005A5FEA"/>
    <w:rsid w:val="005B1387"/>
    <w:rsid w:val="005B22C2"/>
    <w:rsid w:val="005B67B2"/>
    <w:rsid w:val="005C0985"/>
    <w:rsid w:val="005C340A"/>
    <w:rsid w:val="005C3ACE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14B6"/>
    <w:rsid w:val="0062272D"/>
    <w:rsid w:val="00624E33"/>
    <w:rsid w:val="00626E50"/>
    <w:rsid w:val="006406DC"/>
    <w:rsid w:val="00641B70"/>
    <w:rsid w:val="006420C6"/>
    <w:rsid w:val="00644EA3"/>
    <w:rsid w:val="00651257"/>
    <w:rsid w:val="0065709A"/>
    <w:rsid w:val="00661F6E"/>
    <w:rsid w:val="00663435"/>
    <w:rsid w:val="00664335"/>
    <w:rsid w:val="00670916"/>
    <w:rsid w:val="006732BA"/>
    <w:rsid w:val="00673CCF"/>
    <w:rsid w:val="00674B84"/>
    <w:rsid w:val="0067731A"/>
    <w:rsid w:val="00680724"/>
    <w:rsid w:val="00680B1C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678E0"/>
    <w:rsid w:val="00782130"/>
    <w:rsid w:val="00786B6C"/>
    <w:rsid w:val="007A5545"/>
    <w:rsid w:val="007B11F8"/>
    <w:rsid w:val="007B131A"/>
    <w:rsid w:val="007B71FC"/>
    <w:rsid w:val="007C4101"/>
    <w:rsid w:val="007C6DFD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7F78F6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793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1CD0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6ACD"/>
    <w:rsid w:val="00AA6ED4"/>
    <w:rsid w:val="00AB01D9"/>
    <w:rsid w:val="00AB0757"/>
    <w:rsid w:val="00AB1A8B"/>
    <w:rsid w:val="00AB497F"/>
    <w:rsid w:val="00AB4E8C"/>
    <w:rsid w:val="00AC3263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4559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326B3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76B68"/>
    <w:rsid w:val="00B80D6E"/>
    <w:rsid w:val="00B80FF3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22DF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D33"/>
    <w:rsid w:val="00C60EDC"/>
    <w:rsid w:val="00C71E1B"/>
    <w:rsid w:val="00C722BD"/>
    <w:rsid w:val="00C722FB"/>
    <w:rsid w:val="00C777AE"/>
    <w:rsid w:val="00C80670"/>
    <w:rsid w:val="00C80B24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045E"/>
    <w:rsid w:val="00CE0B99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78A2"/>
    <w:rsid w:val="00D60F26"/>
    <w:rsid w:val="00D62AF6"/>
    <w:rsid w:val="00D63E1A"/>
    <w:rsid w:val="00D66623"/>
    <w:rsid w:val="00D711B4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05CFF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4AD0"/>
    <w:rsid w:val="00E97538"/>
    <w:rsid w:val="00EA2D82"/>
    <w:rsid w:val="00EA37A3"/>
    <w:rsid w:val="00EA6992"/>
    <w:rsid w:val="00EA6B11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6560"/>
    <w:rsid w:val="00F57698"/>
    <w:rsid w:val="00F67483"/>
    <w:rsid w:val="00F67722"/>
    <w:rsid w:val="00F708F7"/>
    <w:rsid w:val="00F7158D"/>
    <w:rsid w:val="00F71D36"/>
    <w:rsid w:val="00F723E1"/>
    <w:rsid w:val="00F72BC7"/>
    <w:rsid w:val="00F73ADF"/>
    <w:rsid w:val="00F76E3F"/>
    <w:rsid w:val="00F8171B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C73AC"/>
    <w:rsid w:val="00FC75B9"/>
    <w:rsid w:val="00FD4A05"/>
    <w:rsid w:val="00FD7C9D"/>
    <w:rsid w:val="00FE1CAD"/>
    <w:rsid w:val="00FE369E"/>
    <w:rsid w:val="00FE4D03"/>
    <w:rsid w:val="00FE5595"/>
    <w:rsid w:val="00FE7FB2"/>
    <w:rsid w:val="00FF1A56"/>
    <w:rsid w:val="00FF3277"/>
    <w:rsid w:val="00FF3A68"/>
    <w:rsid w:val="00FF4905"/>
    <w:rsid w:val="00FF6D80"/>
    <w:rsid w:val="00FF79BC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6AF7-8A53-43EE-8201-C1F19774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64</cp:revision>
  <cp:lastPrinted>2017-05-15T05:46:00Z</cp:lastPrinted>
  <dcterms:created xsi:type="dcterms:W3CDTF">2023-02-01T08:25:00Z</dcterms:created>
  <dcterms:modified xsi:type="dcterms:W3CDTF">2024-06-21T06:37:00Z</dcterms:modified>
</cp:coreProperties>
</file>